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209.03: Dissemination of Policy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i w:val="1"/>
          <w:rtl w:val="0"/>
        </w:rPr>
        <w:br w:type="textWrapping"/>
        <w:t xml:space="preserve">The board policy manual is available electronically.  Persons unable to access the policy manual electronically should contact the board secretary for assistance.]</w:t>
      </w:r>
      <w:r w:rsidDel="00000000" w:rsidR="00000000" w:rsidRPr="00000000">
        <w:rPr>
          <w:rFonts w:ascii="Lato" w:cs="Lato" w:eastAsia="Lato" w:hAnsi="Lato"/>
          <w:rtl w:val="0"/>
        </w:rPr>
        <w:br w:type="textWrapping"/>
        <w:br w:type="textWrapping"/>
        <w:t xml:space="preserve">Copies of changes in board policy will also be included in or attached to the minutes of the meetings in which the final action was taken to adopt the new or changed policy.</w:t>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Iowa Code §§ 277.31; 279.8.</w:t>
              <w:br w:type="textWrapping"/>
              <w:t xml:space="preserve">281 I.A.C. 12.3(2).</w:t>
            </w:r>
          </w:p>
        </w:tc>
      </w:tr>
    </w:tbl>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A">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B">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w:cs="Lato" w:eastAsia="Lato" w:hAnsi="Lato"/>
                <w:rtl w:val="0"/>
              </w:rPr>
              <w:t xml:space="preserve">Iowa Code  § 277.31</w:t>
            </w:r>
            <w:r w:rsidDel="00000000" w:rsidR="00000000" w:rsidRPr="00000000">
              <w:rPr>
                <w:rtl w:val="0"/>
              </w:rPr>
            </w:r>
          </w:p>
        </w:tc>
        <w:tc>
          <w:tcPr>
            <w:tcMar>
              <w:top w:w="0.0" w:type="dxa"/>
              <w:bottom w:w="0.0" w:type="dxa"/>
            </w:tcMar>
          </w:tcPr>
          <w:p w:rsidR="00000000" w:rsidDel="00000000" w:rsidP="00000000" w:rsidRDefault="00000000" w:rsidRPr="00000000" w14:paraId="0000000E">
            <w:pPr>
              <w:rPr/>
            </w:pPr>
            <w:hyperlink r:id="rId7">
              <w:r w:rsidDel="00000000" w:rsidR="00000000" w:rsidRPr="00000000">
                <w:rPr>
                  <w:rFonts w:ascii="Lato" w:cs="Lato" w:eastAsia="Lato" w:hAnsi="Lato"/>
                  <w:color w:val="0563c1"/>
                  <w:u w:val="single"/>
                  <w:rtl w:val="0"/>
                </w:rPr>
                <w:t xml:space="preserve">School Elections - Surrendering Office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9">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bl>
    <w:p w:rsidR="00000000" w:rsidDel="00000000" w:rsidP="00000000" w:rsidRDefault="00000000" w:rsidRPr="00000000" w14:paraId="00000015">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200.03</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0">
              <w:r w:rsidDel="00000000" w:rsidR="00000000" w:rsidRPr="00000000">
                <w:rPr>
                  <w:rFonts w:ascii="Lato" w:cs="Lato" w:eastAsia="Lato" w:hAnsi="Lato"/>
                  <w:color w:val="0563c1"/>
                  <w:u w:val="single"/>
                  <w:rtl w:val="0"/>
                </w:rPr>
                <w:t xml:space="preserve">Responsibilities of the Board of Directors</w:t>
              </w:r>
            </w:hyperlink>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lXF5VOxJCDeGamoSnmRB2A==" TargetMode="External"/><Relationship Id="rId9" Type="http://schemas.openxmlformats.org/officeDocument/2006/relationships/hyperlink" Target="https://www.legis.iowa.gov/docs/iac/rule/281.1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7.31.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gMIFUjJQm6shCCHRl7eIAo+1A==">CgMxLjAyCGguZ2pkZ3hzOAByITFEOVV0aVRxTGljOFlqQ3E1b1FYTWd3RWcwYVZUTnV5bg==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2024-02-14T19:58:00Z</dcterms:created>
  <dc:creator>Linda Heisdorffer</dc:creator>
</cp:coreProperties>
</file>